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4263018D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56043B">
        <w:rPr>
          <w:rFonts w:ascii="Trebuchet MS" w:eastAsia="Times New Roman" w:hAnsi="Trebuchet MS" w:cs="Arial"/>
          <w:sz w:val="22"/>
          <w:szCs w:val="22"/>
        </w:rPr>
        <w:t xml:space="preserve">April </w:t>
      </w:r>
      <w:r w:rsidR="00A73181">
        <w:rPr>
          <w:rFonts w:ascii="Trebuchet MS" w:eastAsia="Times New Roman" w:hAnsi="Trebuchet MS" w:cs="Arial"/>
          <w:sz w:val="22"/>
          <w:szCs w:val="22"/>
        </w:rPr>
        <w:t>30</w:t>
      </w:r>
      <w:r w:rsidR="0056043B">
        <w:rPr>
          <w:rFonts w:ascii="Trebuchet MS" w:eastAsia="Times New Roman" w:hAnsi="Trebuchet MS" w:cs="Arial"/>
          <w:sz w:val="22"/>
          <w:szCs w:val="22"/>
        </w:rPr>
        <w:t>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1837F56B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56043B">
        <w:rPr>
          <w:rFonts w:ascii="Trebuchet MS" w:eastAsia="Times New Roman" w:hAnsi="Trebuchet MS" w:cs="Arial"/>
          <w:sz w:val="22"/>
          <w:szCs w:val="22"/>
        </w:rPr>
        <w:t>s</w:t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56043B" w:rsidRPr="0056043B">
        <w:rPr>
          <w:rFonts w:ascii="Trebuchet MS" w:eastAsia="Times New Roman" w:hAnsi="Trebuchet MS" w:cs="Arial"/>
          <w:sz w:val="22"/>
          <w:szCs w:val="22"/>
        </w:rPr>
        <w:t>603, 624, 705, 707 and 712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56043B">
        <w:rPr>
          <w:rFonts w:ascii="Trebuchet MS" w:eastAsia="Times New Roman" w:hAnsi="Trebuchet MS" w:cs="Arial"/>
          <w:sz w:val="22"/>
          <w:szCs w:val="22"/>
        </w:rPr>
        <w:t>Drainage Pipe</w:t>
      </w:r>
    </w:p>
    <w:p w14:paraId="38CD1009" w14:textId="4C8AB774" w:rsidR="00C71BE4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56043B">
        <w:rPr>
          <w:rFonts w:ascii="Trebuchet MS" w:eastAsia="Times New Roman" w:hAnsi="Trebuchet MS" w:cs="Arial"/>
          <w:sz w:val="22"/>
          <w:szCs w:val="22"/>
        </w:rPr>
        <w:t>revised version of the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 standard special provision,</w:t>
      </w:r>
      <w:r w:rsidR="0056043B">
        <w:rPr>
          <w:rFonts w:ascii="Trebuchet MS" w:eastAsia="Times New Roman" w:hAnsi="Trebuchet MS" w:cs="Arial"/>
          <w:sz w:val="22"/>
          <w:szCs w:val="22"/>
        </w:rPr>
        <w:t xml:space="preserve"> Revision of Sections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56043B" w:rsidRPr="0056043B">
        <w:rPr>
          <w:rFonts w:ascii="Trebuchet MS" w:eastAsia="Times New Roman" w:hAnsi="Trebuchet MS" w:cs="Arial"/>
          <w:sz w:val="22"/>
          <w:szCs w:val="22"/>
        </w:rPr>
        <w:t>603, 624, 705, 707 and 712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56043B">
        <w:rPr>
          <w:rFonts w:ascii="Trebuchet MS" w:eastAsia="Times New Roman" w:hAnsi="Trebuchet MS" w:cs="Arial"/>
          <w:sz w:val="22"/>
          <w:szCs w:val="22"/>
        </w:rPr>
        <w:t>Drainage Pipe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.  This standard special provision is </w:t>
      </w:r>
      <w:r w:rsidR="0056043B">
        <w:rPr>
          <w:rFonts w:ascii="Trebuchet MS" w:eastAsia="Times New Roman" w:hAnsi="Trebuchet MS" w:cs="Arial"/>
          <w:sz w:val="22"/>
          <w:szCs w:val="22"/>
        </w:rPr>
        <w:t>3 pages long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. </w:t>
      </w:r>
      <w:r w:rsidR="00095211">
        <w:rPr>
          <w:rFonts w:ascii="Trebuchet MS" w:eastAsia="Times New Roman" w:hAnsi="Trebuchet MS" w:cs="Arial"/>
          <w:sz w:val="22"/>
          <w:szCs w:val="22"/>
        </w:rPr>
        <w:t xml:space="preserve"> It replaces the now obsolete standard special provision dated October 2, 2014. 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 It is to be used in projects</w:t>
      </w:r>
      <w:r w:rsidR="0056043B">
        <w:rPr>
          <w:rFonts w:ascii="Trebuchet MS" w:eastAsia="Times New Roman" w:hAnsi="Trebuchet MS" w:cs="Arial"/>
          <w:sz w:val="22"/>
          <w:szCs w:val="22"/>
        </w:rPr>
        <w:t xml:space="preserve"> having any type of culvert pipe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, beginning with projects advertised on or </w:t>
      </w:r>
      <w:r w:rsidR="0056043B">
        <w:rPr>
          <w:rFonts w:ascii="Trebuchet MS" w:eastAsia="Times New Roman" w:hAnsi="Trebuchet MS" w:cs="Arial"/>
          <w:sz w:val="22"/>
          <w:szCs w:val="22"/>
        </w:rPr>
        <w:t>May 21</w:t>
      </w:r>
      <w:r w:rsidR="00E34B89">
        <w:rPr>
          <w:rFonts w:ascii="Trebuchet MS" w:eastAsia="Times New Roman" w:hAnsi="Trebuchet MS" w:cs="Arial"/>
          <w:sz w:val="22"/>
          <w:szCs w:val="22"/>
        </w:rPr>
        <w:t>, 2015.  You are free, however, to include it in projects advertised before this date.</w:t>
      </w:r>
    </w:p>
    <w:p w14:paraId="2FDC20CC" w14:textId="729A6F25" w:rsidR="00E34B89" w:rsidRDefault="0056043B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The modifications included in this </w:t>
      </w:r>
      <w:r w:rsidR="00E56FDF">
        <w:rPr>
          <w:rFonts w:ascii="Trebuchet MS" w:eastAsia="Times New Roman" w:hAnsi="Trebuchet MS" w:cs="Arial"/>
          <w:sz w:val="22"/>
          <w:szCs w:val="22"/>
        </w:rPr>
        <w:t>revision define</w:t>
      </w:r>
      <w:r w:rsidR="00A73181">
        <w:rPr>
          <w:rFonts w:ascii="Trebuchet MS" w:eastAsia="Times New Roman" w:hAnsi="Trebuchet MS" w:cs="Arial"/>
          <w:sz w:val="22"/>
          <w:szCs w:val="22"/>
        </w:rPr>
        <w:t xml:space="preserve"> the requirements of a new pipe material, </w:t>
      </w:r>
      <w:r>
        <w:rPr>
          <w:rFonts w:ascii="Trebuchet MS" w:eastAsia="Times New Roman" w:hAnsi="Trebuchet MS" w:cs="Arial"/>
          <w:sz w:val="22"/>
          <w:szCs w:val="22"/>
        </w:rPr>
        <w:t>Steel Reinforce</w:t>
      </w:r>
      <w:r w:rsidR="00E56FDF">
        <w:rPr>
          <w:rFonts w:ascii="Trebuchet MS" w:eastAsia="Times New Roman" w:hAnsi="Trebuchet MS" w:cs="Arial"/>
          <w:sz w:val="22"/>
          <w:szCs w:val="22"/>
        </w:rPr>
        <w:t>d</w:t>
      </w:r>
      <w:bookmarkStart w:id="0" w:name="_GoBack"/>
      <w:bookmarkEnd w:id="0"/>
      <w:r>
        <w:rPr>
          <w:rFonts w:ascii="Trebuchet MS" w:eastAsia="Times New Roman" w:hAnsi="Trebuchet MS" w:cs="Arial"/>
          <w:sz w:val="22"/>
          <w:szCs w:val="22"/>
        </w:rPr>
        <w:t xml:space="preserve"> Polyethylene (SRPE) Pipe</w:t>
      </w:r>
      <w:r w:rsidR="00095211">
        <w:rPr>
          <w:rFonts w:ascii="Trebuchet MS" w:eastAsia="Times New Roman" w:hAnsi="Trebuchet MS" w:cs="Arial"/>
          <w:sz w:val="22"/>
          <w:szCs w:val="22"/>
        </w:rPr>
        <w:t>.</w:t>
      </w:r>
    </w:p>
    <w:p w14:paraId="50B7B6D0" w14:textId="2B94C225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Those of you who keep a book of Standar</w:t>
      </w:r>
      <w:r w:rsidR="00095211">
        <w:rPr>
          <w:rFonts w:ascii="Trebuchet MS" w:eastAsia="Times New Roman" w:hAnsi="Trebuchet MS" w:cs="Arial"/>
          <w:sz w:val="22"/>
          <w:szCs w:val="22"/>
        </w:rPr>
        <w:t xml:space="preserve">d Special Provisions should replace the now obsolete standard special provision in your file with this revised version. </w:t>
      </w:r>
      <w:r>
        <w:rPr>
          <w:rFonts w:ascii="Trebuchet MS" w:eastAsia="Times New Roman" w:hAnsi="Trebuchet MS" w:cs="Arial"/>
          <w:sz w:val="22"/>
          <w:szCs w:val="22"/>
        </w:rPr>
        <w:t xml:space="preserve"> 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B85CF" w14:textId="77777777" w:rsidR="0020638F" w:rsidRDefault="0020638F" w:rsidP="00370CDA">
      <w:r>
        <w:separator/>
      </w:r>
    </w:p>
  </w:endnote>
  <w:endnote w:type="continuationSeparator" w:id="0">
    <w:p w14:paraId="162829DC" w14:textId="77777777" w:rsidR="0020638F" w:rsidRDefault="0020638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6F8BC" w14:textId="77777777" w:rsidR="0020638F" w:rsidRDefault="0020638F" w:rsidP="00370CDA">
      <w:r>
        <w:separator/>
      </w:r>
    </w:p>
  </w:footnote>
  <w:footnote w:type="continuationSeparator" w:id="0">
    <w:p w14:paraId="64FBA372" w14:textId="77777777" w:rsidR="0020638F" w:rsidRDefault="0020638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95211"/>
    <w:rsid w:val="000A14EB"/>
    <w:rsid w:val="000A623E"/>
    <w:rsid w:val="0020638F"/>
    <w:rsid w:val="00283E9E"/>
    <w:rsid w:val="002C1694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6043B"/>
    <w:rsid w:val="0058513F"/>
    <w:rsid w:val="00753AC5"/>
    <w:rsid w:val="00766707"/>
    <w:rsid w:val="007918A9"/>
    <w:rsid w:val="0093767A"/>
    <w:rsid w:val="0096175F"/>
    <w:rsid w:val="009B7DA8"/>
    <w:rsid w:val="009C1544"/>
    <w:rsid w:val="009F63B1"/>
    <w:rsid w:val="00A73181"/>
    <w:rsid w:val="00B101C3"/>
    <w:rsid w:val="00BB4F18"/>
    <w:rsid w:val="00BB5A81"/>
    <w:rsid w:val="00BF0EE0"/>
    <w:rsid w:val="00C71BE4"/>
    <w:rsid w:val="00CA6E16"/>
    <w:rsid w:val="00D10630"/>
    <w:rsid w:val="00D33DC1"/>
    <w:rsid w:val="00D55128"/>
    <w:rsid w:val="00D773E4"/>
    <w:rsid w:val="00DC62AA"/>
    <w:rsid w:val="00E34B89"/>
    <w:rsid w:val="00E56FDF"/>
    <w:rsid w:val="00E77696"/>
    <w:rsid w:val="00EA3CE6"/>
    <w:rsid w:val="00EB6486"/>
    <w:rsid w:val="00EE405D"/>
    <w:rsid w:val="00EF64A8"/>
    <w:rsid w:val="00F7348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2015-04-30T21:41:00Z</dcterms:created>
  <dcterms:modified xsi:type="dcterms:W3CDTF">2015-04-30T21:41:00Z</dcterms:modified>
</cp:coreProperties>
</file>